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0"/>
        <w:jc w:val="center"/>
        <w:rPr>
          <w:rFonts w:ascii="Arial" w:hAnsi="Arial" w:cs="Arial"/>
          <w:b/>
          <w:b/>
          <w:sz w:val="32"/>
          <w:szCs w:val="26"/>
          <w:lang w:val="en-GB"/>
        </w:rPr>
      </w:pPr>
      <w:r>
        <w:rPr>
          <w:rFonts w:cs="Arial" w:ascii="Arial" w:hAnsi="Arial"/>
          <w:b/>
          <w:sz w:val="32"/>
          <w:szCs w:val="26"/>
          <w:lang w:val="en-GB"/>
        </w:rPr>
        <w:t>Short Term Scientific Missions</w:t>
      </w:r>
    </w:p>
    <w:p>
      <w:pPr>
        <w:pStyle w:val="Normal"/>
        <w:widowControl w:val="false"/>
        <w:spacing w:before="0" w:after="0"/>
        <w:jc w:val="center"/>
        <w:rPr/>
      </w:pPr>
      <w:r>
        <w:rPr>
          <w:rFonts w:cs="Arial" w:ascii="Arial" w:hAnsi="Arial"/>
          <w:b/>
          <w:sz w:val="26"/>
          <w:szCs w:val="26"/>
          <w:lang w:val="en-GB"/>
        </w:rPr>
        <w:t>Eligibility Rules for cHiPSet (COST 1406)</w:t>
      </w:r>
    </w:p>
    <w:p>
      <w:pPr>
        <w:pStyle w:val="Normal"/>
        <w:widowControl w:val="false"/>
        <w:spacing w:before="0" w:after="0"/>
        <w:jc w:val="center"/>
        <w:rPr/>
      </w:pPr>
      <w:r>
        <w:rPr>
          <w:rFonts w:cs="Arial" w:ascii="Arial" w:hAnsi="Arial"/>
          <w:b/>
          <w:sz w:val="26"/>
          <w:szCs w:val="26"/>
          <w:lang w:val="en-GB"/>
        </w:rPr>
        <w:t>1</w:t>
      </w:r>
      <w:r>
        <w:rPr>
          <w:rFonts w:cs="Arial" w:ascii="Arial" w:hAnsi="Arial"/>
          <w:b/>
          <w:sz w:val="26"/>
          <w:szCs w:val="26"/>
          <w:vertAlign w:val="superscript"/>
          <w:lang w:val="en-GB"/>
        </w:rPr>
        <w:t>st</w:t>
      </w:r>
      <w:r>
        <w:rPr>
          <w:rFonts w:cs="Arial" w:ascii="Arial" w:hAnsi="Arial"/>
          <w:b/>
          <w:sz w:val="26"/>
          <w:szCs w:val="26"/>
          <w:lang w:val="en-GB"/>
        </w:rPr>
        <w:t xml:space="preserve"> Call (</w:t>
      </w:r>
      <w:r>
        <w:rPr>
          <w:rFonts w:cs="Arial" w:ascii="Arial" w:hAnsi="Arial"/>
          <w:b/>
          <w:sz w:val="26"/>
          <w:szCs w:val="26"/>
          <w:lang w:val="en-GB"/>
        </w:rPr>
        <w:t>Sept</w:t>
      </w:r>
      <w:r>
        <w:rPr>
          <w:rFonts w:cs="Arial" w:ascii="Arial" w:hAnsi="Arial"/>
          <w:b/>
          <w:sz w:val="26"/>
          <w:szCs w:val="26"/>
          <w:lang w:val="en-GB"/>
        </w:rPr>
        <w:t>ember 201</w:t>
      </w:r>
      <w:r>
        <w:rPr>
          <w:rFonts w:cs="Arial" w:ascii="Arial" w:hAnsi="Arial"/>
          <w:b/>
          <w:sz w:val="26"/>
          <w:szCs w:val="26"/>
          <w:lang w:val="en-GB"/>
        </w:rPr>
        <w:t>6</w:t>
      </w:r>
      <w:r>
        <w:rPr>
          <w:rFonts w:cs="Arial" w:ascii="Arial" w:hAnsi="Arial"/>
          <w:b/>
          <w:sz w:val="26"/>
          <w:szCs w:val="26"/>
          <w:lang w:val="en-GB"/>
        </w:rPr>
        <w:t>)</w:t>
      </w:r>
    </w:p>
    <w:p>
      <w:pPr>
        <w:pStyle w:val="Normal"/>
        <w:widowControl w:val="false"/>
        <w:spacing w:before="0" w:after="0"/>
        <w:jc w:val="center"/>
        <w:rPr/>
      </w:pPr>
      <w:r>
        <w:rPr>
          <w:rFonts w:cs="Arial" w:ascii="Arial" w:hAnsi="Arial"/>
          <w:sz w:val="26"/>
          <w:szCs w:val="26"/>
          <w:lang w:val="en-GB"/>
        </w:rPr>
        <w:t>Version 1.</w:t>
      </w:r>
      <w:r>
        <w:rPr>
          <w:rFonts w:cs="Arial" w:ascii="Arial" w:hAnsi="Arial"/>
          <w:sz w:val="26"/>
          <w:szCs w:val="26"/>
          <w:lang w:val="en-GB"/>
        </w:rPr>
        <w:t>0</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 xml:space="preserve">This document describes the conditions of the </w:t>
      </w:r>
      <w:r>
        <w:rPr>
          <w:rFonts w:cs="Arial" w:ascii="Arial" w:hAnsi="Arial"/>
          <w:sz w:val="26"/>
          <w:szCs w:val="26"/>
          <w:lang w:val="en-GB"/>
        </w:rPr>
        <w:t>first</w:t>
      </w:r>
      <w:r>
        <w:rPr>
          <w:rFonts w:cs="Arial" w:ascii="Arial" w:hAnsi="Arial"/>
          <w:sz w:val="26"/>
          <w:szCs w:val="26"/>
          <w:lang w:val="en-GB"/>
        </w:rPr>
        <w:t xml:space="preserve"> call of Short Term Scientific Missions for cHiPSet (COST Action 1406) in 201</w:t>
      </w:r>
      <w:r>
        <w:rPr>
          <w:rFonts w:cs="Arial" w:ascii="Arial" w:hAnsi="Arial"/>
          <w:sz w:val="26"/>
          <w:szCs w:val="26"/>
          <w:lang w:val="en-GB"/>
        </w:rPr>
        <w:t>6</w:t>
      </w:r>
      <w:r>
        <w:rPr>
          <w:rFonts w:cs="Arial" w:ascii="Arial" w:hAnsi="Arial"/>
          <w:sz w:val="26"/>
          <w:szCs w:val="26"/>
          <w:lang w:val="en-GB"/>
        </w:rPr>
        <w:t xml:space="preserve">. This </w:t>
      </w:r>
      <w:r>
        <w:rPr>
          <w:rFonts w:cs="Arial" w:ascii="Arial" w:hAnsi="Arial"/>
          <w:sz w:val="26"/>
          <w:szCs w:val="26"/>
          <w:lang w:val="en-GB"/>
        </w:rPr>
        <w:t>first</w:t>
      </w:r>
      <w:r>
        <w:rPr>
          <w:rFonts w:cs="Arial" w:ascii="Arial" w:hAnsi="Arial"/>
          <w:sz w:val="26"/>
          <w:szCs w:val="26"/>
          <w:lang w:val="en-GB"/>
        </w:rPr>
        <w:t xml:space="preserve"> call </w:t>
      </w:r>
      <w:r>
        <w:rPr>
          <w:rFonts w:cs="Arial" w:ascii="Arial" w:hAnsi="Arial"/>
          <w:sz w:val="26"/>
          <w:szCs w:val="26"/>
          <w:lang w:val="en-GB"/>
        </w:rPr>
        <w:t>of the 2</w:t>
      </w:r>
      <w:r>
        <w:rPr>
          <w:rFonts w:cs="Arial" w:ascii="Arial" w:hAnsi="Arial"/>
          <w:sz w:val="26"/>
          <w:szCs w:val="26"/>
          <w:vertAlign w:val="superscript"/>
          <w:lang w:val="en-GB"/>
        </w:rPr>
        <w:t>nd</w:t>
      </w:r>
      <w:r>
        <w:rPr>
          <w:rFonts w:cs="Arial" w:ascii="Arial" w:hAnsi="Arial"/>
          <w:sz w:val="26"/>
          <w:szCs w:val="26"/>
          <w:lang w:val="en-GB"/>
        </w:rPr>
        <w:t xml:space="preserve"> Grant Period</w:t>
      </w:r>
      <w:r>
        <w:rPr>
          <w:rFonts w:cs="Arial" w:ascii="Arial" w:hAnsi="Arial"/>
          <w:sz w:val="26"/>
          <w:szCs w:val="26"/>
          <w:lang w:val="en-GB"/>
        </w:rPr>
        <w:t xml:space="preserve"> intends to assign a global amount of </w:t>
      </w:r>
      <w:r>
        <w:rPr>
          <w:rFonts w:cs="Arial" w:ascii="Arial" w:hAnsi="Arial"/>
          <w:sz w:val="26"/>
          <w:szCs w:val="26"/>
          <w:lang w:val="en-GB"/>
        </w:rPr>
        <w:t>15</w:t>
      </w:r>
      <w:r>
        <w:rPr>
          <w:rFonts w:cs="Arial" w:ascii="Arial" w:hAnsi="Arial"/>
          <w:sz w:val="26"/>
          <w:szCs w:val="26"/>
          <w:lang w:val="en-GB"/>
        </w:rPr>
        <w:t>.000 euros.</w:t>
      </w:r>
    </w:p>
    <w:p>
      <w:pPr>
        <w:pStyle w:val="Normal"/>
        <w:widowControl w:val="false"/>
        <w:spacing w:before="0" w:after="0"/>
        <w:jc w:val="both"/>
        <w:rPr>
          <w:rFonts w:ascii="Arial" w:hAnsi="Arial" w:cs="Arial"/>
          <w:sz w:val="26"/>
          <w:szCs w:val="26"/>
        </w:rPr>
      </w:pPr>
      <w:r>
        <w:rPr>
          <w:rFonts w:cs="Arial" w:ascii="Arial" w:hAnsi="Arial"/>
          <w:sz w:val="26"/>
          <w:szCs w:val="26"/>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b/>
          <w:b/>
          <w:sz w:val="26"/>
          <w:szCs w:val="26"/>
          <w:lang w:val="en-GB"/>
        </w:rPr>
      </w:pPr>
      <w:r>
        <w:rPr>
          <w:rFonts w:cs="Arial" w:ascii="Arial" w:hAnsi="Arial"/>
          <w:b/>
          <w:sz w:val="26"/>
          <w:szCs w:val="26"/>
          <w:lang w:val="en-GB"/>
        </w:rPr>
        <w:t>1. Grants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 xml:space="preserve">An indicative amount per time duration of the grant are specified as follows: </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tbl>
      <w:tblPr>
        <w:tblStyle w:val="Tablaconcuadrcula"/>
        <w:tblW w:w="6237" w:type="dxa"/>
        <w:jc w:val="left"/>
        <w:tblInd w:w="1373" w:type="dxa"/>
        <w:tblCellMar>
          <w:top w:w="0" w:type="dxa"/>
          <w:left w:w="98" w:type="dxa"/>
          <w:bottom w:w="0" w:type="dxa"/>
          <w:right w:w="108" w:type="dxa"/>
        </w:tblCellMar>
        <w:tblLook w:val="00a0"/>
      </w:tblPr>
      <w:tblGrid>
        <w:gridCol w:w="2550"/>
        <w:gridCol w:w="3686"/>
      </w:tblGrid>
      <w:tr>
        <w:trPr/>
        <w:tc>
          <w:tcPr>
            <w:tcW w:w="2550" w:type="dxa"/>
            <w:tcBorders/>
            <w:shd w:color="auto" w:fill="auto" w:val="clear"/>
            <w:tcMar>
              <w:left w:w="98" w:type="dxa"/>
            </w:tcMar>
          </w:tcPr>
          <w:p>
            <w:pPr>
              <w:pStyle w:val="Normal"/>
              <w:widowControl w:val="false"/>
              <w:spacing w:before="0" w:after="0"/>
              <w:jc w:val="center"/>
              <w:rPr>
                <w:rFonts w:ascii="Arial" w:hAnsi="Arial" w:cs="Arial"/>
                <w:b/>
                <w:b/>
                <w:sz w:val="26"/>
                <w:szCs w:val="26"/>
                <w:lang w:val="en-GB"/>
              </w:rPr>
            </w:pPr>
            <w:r>
              <w:rPr>
                <w:rFonts w:cs="Arial" w:ascii="Arial" w:hAnsi="Arial"/>
                <w:b/>
                <w:sz w:val="26"/>
                <w:szCs w:val="26"/>
                <w:lang w:val="en-GB"/>
              </w:rPr>
              <w:t>Duration</w:t>
            </w:r>
          </w:p>
          <w:p>
            <w:pPr>
              <w:pStyle w:val="Normal"/>
              <w:widowControl w:val="false"/>
              <w:spacing w:before="0" w:after="0"/>
              <w:jc w:val="center"/>
              <w:rPr>
                <w:rFonts w:ascii="Arial" w:hAnsi="Arial" w:cs="Arial"/>
                <w:b/>
                <w:b/>
                <w:sz w:val="26"/>
                <w:szCs w:val="26"/>
                <w:lang w:val="en-GB"/>
              </w:rPr>
            </w:pPr>
            <w:r>
              <w:rPr>
                <w:rFonts w:cs="Arial" w:ascii="Arial" w:hAnsi="Arial"/>
                <w:b/>
                <w:sz w:val="26"/>
                <w:szCs w:val="26"/>
                <w:lang w:val="en-GB"/>
              </w:rPr>
              <w:t>(less or equal)</w:t>
            </w:r>
          </w:p>
        </w:tc>
        <w:tc>
          <w:tcPr>
            <w:tcW w:w="3686" w:type="dxa"/>
            <w:tcBorders/>
            <w:shd w:color="auto" w:fill="auto" w:val="clear"/>
            <w:tcMar>
              <w:left w:w="98" w:type="dxa"/>
            </w:tcMar>
          </w:tcPr>
          <w:p>
            <w:pPr>
              <w:pStyle w:val="Normal"/>
              <w:widowControl w:val="false"/>
              <w:spacing w:before="0" w:after="0"/>
              <w:jc w:val="center"/>
              <w:rPr>
                <w:rFonts w:ascii="Arial" w:hAnsi="Arial" w:cs="Arial"/>
                <w:b/>
                <w:b/>
                <w:sz w:val="26"/>
                <w:szCs w:val="26"/>
                <w:lang w:val="en-GB"/>
              </w:rPr>
            </w:pPr>
            <w:r>
              <w:rPr>
                <w:rFonts w:cs="Arial" w:ascii="Arial" w:hAnsi="Arial"/>
                <w:b/>
                <w:sz w:val="26"/>
                <w:szCs w:val="26"/>
                <w:lang w:val="en-GB"/>
              </w:rPr>
              <w:t>Indicative amount per grant (EUROS)</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2 weeks</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1.000</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1 month</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1.500</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2 months</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2.000</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3 months</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2.500</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 xml:space="preserve">4 months (ECI) </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3.000</w:t>
            </w:r>
          </w:p>
        </w:tc>
      </w:tr>
      <w:tr>
        <w:trPr/>
        <w:tc>
          <w:tcPr>
            <w:tcW w:w="2550" w:type="dxa"/>
            <w:tcBorders/>
            <w:shd w:color="auto" w:fill="auto" w:val="clear"/>
            <w:tcMar>
              <w:left w:w="98" w:type="dxa"/>
            </w:tcMar>
          </w:tcPr>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6 months (ECI)</w:t>
            </w:r>
          </w:p>
        </w:tc>
        <w:tc>
          <w:tcPr>
            <w:tcW w:w="3686" w:type="dxa"/>
            <w:tcBorders/>
            <w:shd w:color="auto" w:fill="auto" w:val="clear"/>
            <w:tcMar>
              <w:left w:w="98" w:type="dxa"/>
            </w:tcMar>
          </w:tcPr>
          <w:p>
            <w:pPr>
              <w:pStyle w:val="Normal"/>
              <w:widowControl w:val="false"/>
              <w:spacing w:before="0" w:after="0"/>
              <w:jc w:val="center"/>
              <w:rPr>
                <w:rFonts w:ascii="Arial" w:hAnsi="Arial" w:cs="Arial"/>
                <w:sz w:val="26"/>
                <w:szCs w:val="26"/>
                <w:lang w:val="en-GB"/>
              </w:rPr>
            </w:pPr>
            <w:r>
              <w:rPr>
                <w:rFonts w:cs="Arial" w:ascii="Arial" w:hAnsi="Arial"/>
                <w:sz w:val="26"/>
                <w:szCs w:val="26"/>
                <w:lang w:val="en-GB"/>
              </w:rPr>
              <w:t>3.500</w:t>
            </w:r>
          </w:p>
        </w:tc>
      </w:tr>
    </w:tbl>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The values in the above table are an orientation and, in justified cases, could be increased (maintaining COST support rules) depending mainly on the estimated living cost in the destination requested. In any case, STSM must respect the following COST criteria:</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1. They must have a minimum duration of 5 days.</w:t>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2. They must have a maximum duration of 90 days.</w:t>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3. STSM needs to be carried out in their entirety within a single Grant Period and always within the Action’s lifetime.</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Specific additional provisions will be adopted to encourage the participation of Early Career Investigators (ECI) in STSM. To qualify for these specific provisions, the following conditions apply:</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1. The mission must have a minimum duration of 91 days.</w:t>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2. The mission must have a maximum duration of 180 days.</w:t>
      </w:r>
    </w:p>
    <w:p>
      <w:pPr>
        <w:pStyle w:val="Normal"/>
        <w:widowControl w:val="false"/>
        <w:spacing w:before="0" w:after="0"/>
        <w:ind w:left="708" w:hanging="0"/>
        <w:jc w:val="both"/>
        <w:rPr>
          <w:rFonts w:ascii="Arial" w:hAnsi="Arial" w:cs="Arial"/>
          <w:sz w:val="26"/>
          <w:szCs w:val="26"/>
          <w:lang w:val="en-GB"/>
        </w:rPr>
      </w:pPr>
      <w:r>
        <w:rPr>
          <w:rFonts w:cs="Arial" w:ascii="Arial" w:hAnsi="Arial"/>
          <w:sz w:val="26"/>
          <w:szCs w:val="26"/>
          <w:lang w:val="en-GB"/>
        </w:rPr>
        <w:t>3. STSM performed by ECI need to be carried out in their entirety within a single Grant Period and always within the Action’s lifetime.</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The calculation of the financial contribution for each STSM must respect the following criteria:</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ListParagraph"/>
        <w:widowControl w:val="false"/>
        <w:numPr>
          <w:ilvl w:val="0"/>
          <w:numId w:val="1"/>
        </w:numPr>
        <w:spacing w:before="0" w:after="0"/>
        <w:jc w:val="both"/>
        <w:rPr>
          <w:rFonts w:ascii="Arial" w:hAnsi="Arial" w:cs="Arial"/>
          <w:sz w:val="26"/>
          <w:szCs w:val="26"/>
          <w:lang w:val="en-GB"/>
        </w:rPr>
      </w:pPr>
      <w:r>
        <w:rPr>
          <w:rFonts w:cs="Arial" w:ascii="Arial" w:hAnsi="Arial"/>
          <w:sz w:val="26"/>
          <w:szCs w:val="26"/>
          <w:lang w:val="en-GB"/>
        </w:rPr>
        <w:t>up to a maximum of EUR 2.500 in total can be afforded to each successful STSM applicant;</w:t>
      </w:r>
    </w:p>
    <w:p>
      <w:pPr>
        <w:pStyle w:val="ListParagraph"/>
        <w:widowControl w:val="false"/>
        <w:numPr>
          <w:ilvl w:val="0"/>
          <w:numId w:val="1"/>
        </w:numPr>
        <w:spacing w:before="0" w:after="0"/>
        <w:jc w:val="both"/>
        <w:rPr>
          <w:rFonts w:ascii="Arial" w:hAnsi="Arial" w:cs="Arial"/>
          <w:sz w:val="26"/>
          <w:szCs w:val="26"/>
          <w:lang w:val="en-GB"/>
        </w:rPr>
      </w:pPr>
      <w:r>
        <w:rPr>
          <w:rFonts w:cs="Arial" w:ascii="Arial" w:hAnsi="Arial"/>
          <w:sz w:val="26"/>
          <w:szCs w:val="26"/>
          <w:lang w:val="en-GB"/>
        </w:rPr>
        <w:t>up to a maximum of EUR 160 per day can be afforded for accommodation and meal expenses.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t>For ECIs, the calculation for an increased financial contribution must respect the following criteria:</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ListParagraph"/>
        <w:widowControl w:val="false"/>
        <w:numPr>
          <w:ilvl w:val="0"/>
          <w:numId w:val="2"/>
        </w:numPr>
        <w:spacing w:before="0" w:after="0"/>
        <w:jc w:val="both"/>
        <w:rPr>
          <w:rFonts w:ascii="Arial" w:hAnsi="Arial" w:cs="Arial"/>
          <w:sz w:val="26"/>
          <w:szCs w:val="26"/>
          <w:lang w:val="en-GB"/>
        </w:rPr>
      </w:pPr>
      <w:r>
        <w:rPr>
          <w:rFonts w:cs="Arial" w:ascii="Arial" w:hAnsi="Arial"/>
          <w:sz w:val="26"/>
          <w:szCs w:val="26"/>
          <w:lang w:val="en-GB"/>
        </w:rPr>
        <w:t>up to a maximum of EUR 3 500 in total can be afforded to ECIs for missions with a duration of between 91 and 180 days;</w:t>
      </w:r>
    </w:p>
    <w:p>
      <w:pPr>
        <w:pStyle w:val="ListParagraph"/>
        <w:widowControl w:val="false"/>
        <w:numPr>
          <w:ilvl w:val="0"/>
          <w:numId w:val="2"/>
        </w:numPr>
        <w:spacing w:before="0" w:after="0"/>
        <w:jc w:val="both"/>
        <w:rPr>
          <w:rFonts w:ascii="Arial" w:hAnsi="Arial" w:cs="Arial"/>
          <w:sz w:val="26"/>
          <w:szCs w:val="26"/>
          <w:lang w:val="en-GB"/>
        </w:rPr>
      </w:pPr>
      <w:r>
        <w:rPr>
          <w:rFonts w:cs="Arial" w:ascii="Arial" w:hAnsi="Arial"/>
          <w:sz w:val="26"/>
          <w:szCs w:val="26"/>
          <w:lang w:val="en-GB"/>
        </w:rPr>
        <w:t>up to a maximum of EUR 160 per day can be afforded for accommodation and meal expenses.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b/>
          <w:sz w:val="26"/>
          <w:szCs w:val="26"/>
          <w:lang w:val="en-GB"/>
        </w:rPr>
        <w:t>2. Grant Global amount for the grants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 xml:space="preserve">For this </w:t>
      </w:r>
      <w:r>
        <w:rPr>
          <w:rFonts w:cs="Arial" w:ascii="Arial" w:hAnsi="Arial"/>
          <w:sz w:val="26"/>
          <w:szCs w:val="26"/>
          <w:lang w:val="en-GB"/>
        </w:rPr>
        <w:t>first</w:t>
      </w:r>
      <w:r>
        <w:rPr>
          <w:rFonts w:cs="Arial" w:ascii="Arial" w:hAnsi="Arial"/>
          <w:sz w:val="26"/>
          <w:szCs w:val="26"/>
          <w:lang w:val="en-GB"/>
        </w:rPr>
        <w:t xml:space="preserve"> call of the </w:t>
      </w:r>
      <w:r>
        <w:rPr>
          <w:rFonts w:cs="Arial" w:ascii="Arial" w:hAnsi="Arial"/>
          <w:sz w:val="26"/>
          <w:szCs w:val="26"/>
          <w:lang w:val="en-GB"/>
        </w:rPr>
        <w:t>2</w:t>
      </w:r>
      <w:r>
        <w:rPr>
          <w:rFonts w:cs="Arial" w:ascii="Arial" w:hAnsi="Arial"/>
          <w:sz w:val="26"/>
          <w:szCs w:val="26"/>
          <w:vertAlign w:val="superscript"/>
          <w:lang w:val="en-GB"/>
        </w:rPr>
        <w:t>nd</w:t>
      </w:r>
      <w:r>
        <w:rPr>
          <w:rFonts w:cs="Arial" w:ascii="Arial" w:hAnsi="Arial"/>
          <w:sz w:val="26"/>
          <w:szCs w:val="26"/>
          <w:lang w:val="en-GB"/>
        </w:rPr>
        <w:t xml:space="preserve"> </w:t>
      </w:r>
      <w:r>
        <w:rPr>
          <w:rFonts w:cs="Arial" w:ascii="Arial" w:hAnsi="Arial"/>
          <w:sz w:val="26"/>
          <w:szCs w:val="26"/>
          <w:lang w:val="en-GB"/>
        </w:rPr>
        <w:t>Grant Period</w:t>
      </w:r>
      <w:r>
        <w:rPr>
          <w:rFonts w:cs="Arial" w:ascii="Arial" w:hAnsi="Arial"/>
          <w:sz w:val="26"/>
          <w:szCs w:val="26"/>
          <w:lang w:val="en-GB"/>
        </w:rPr>
        <w:t xml:space="preserve"> a global budget of EUR </w:t>
      </w:r>
      <w:r>
        <w:rPr>
          <w:rFonts w:cs="Arial" w:ascii="Arial" w:hAnsi="Arial"/>
          <w:sz w:val="26"/>
          <w:szCs w:val="26"/>
          <w:lang w:val="en-GB"/>
        </w:rPr>
        <w:t>15</w:t>
      </w:r>
      <w:r>
        <w:rPr>
          <w:rFonts w:cs="Arial" w:ascii="Arial" w:hAnsi="Arial"/>
          <w:sz w:val="26"/>
          <w:szCs w:val="26"/>
          <w:lang w:val="en-GB"/>
        </w:rPr>
        <w:t>.000 is available to be split among a variable number of grants.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b/>
          <w:b/>
          <w:sz w:val="26"/>
          <w:szCs w:val="26"/>
          <w:lang w:val="en-GB"/>
        </w:rPr>
      </w:pPr>
      <w:r>
        <w:rPr>
          <w:rFonts w:cs="Arial" w:ascii="Arial" w:hAnsi="Arial"/>
          <w:b/>
          <w:sz w:val="26"/>
          <w:szCs w:val="26"/>
          <w:lang w:val="en-GB"/>
        </w:rPr>
        <w:t>3. Submission procedure and associated documents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First of all, candidates must register at the eCOST system</w:t>
      </w:r>
      <w:r>
        <w:rPr>
          <w:rStyle w:val="FootnoteAnchor"/>
          <w:rFonts w:cs="Arial" w:ascii="Arial" w:hAnsi="Arial"/>
          <w:sz w:val="26"/>
          <w:szCs w:val="26"/>
          <w:lang w:val="en-GB"/>
        </w:rPr>
        <w:footnoteReference w:id="2"/>
      </w:r>
      <w:r>
        <w:rPr>
          <w:rFonts w:cs="Arial" w:ascii="Arial" w:hAnsi="Arial"/>
          <w:sz w:val="26"/>
          <w:szCs w:val="26"/>
          <w:lang w:val="en-GB"/>
        </w:rPr>
        <w:t>. Then, candidates must send an email to &lt;</w:t>
      </w:r>
      <w:hyperlink r:id="rId2">
        <w:r>
          <w:rPr>
            <w:rStyle w:val="InternetLink"/>
            <w:rFonts w:cs="Arial" w:ascii="Arial" w:hAnsi="Arial"/>
            <w:sz w:val="26"/>
            <w:szCs w:val="26"/>
            <w:u w:val="none" w:color="103CC0"/>
            <w:lang w:val="en-GB"/>
          </w:rPr>
          <w:t>J.C.Burguillo@uvigo.es</w:t>
        </w:r>
      </w:hyperlink>
      <w:r>
        <w:rPr>
          <w:rFonts w:cs="Arial" w:ascii="Arial" w:hAnsi="Arial"/>
          <w:sz w:val="26"/>
          <w:szCs w:val="26"/>
          <w:lang w:val="en-GB"/>
        </w:rPr>
        <w:t>&gt; with the subject &lt;CHIPSET: STSM GRANT&gt; within the deadlines, providing these extra documents as attachments:</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ListParagraph"/>
        <w:widowControl w:val="false"/>
        <w:numPr>
          <w:ilvl w:val="0"/>
          <w:numId w:val="1"/>
        </w:numPr>
        <w:spacing w:before="0" w:after="0"/>
        <w:jc w:val="both"/>
        <w:rPr>
          <w:rFonts w:ascii="Arial" w:hAnsi="Arial" w:cs="Arial"/>
          <w:sz w:val="26"/>
          <w:szCs w:val="26"/>
          <w:lang w:val="en-GB"/>
        </w:rPr>
      </w:pPr>
      <w:r>
        <w:rPr>
          <w:rFonts w:cs="Arial" w:ascii="Arial" w:hAnsi="Arial"/>
          <w:sz w:val="26"/>
          <w:szCs w:val="26"/>
          <w:lang w:val="en-GB"/>
        </w:rPr>
        <w:t>A short CV (2 pages) in Europass format</w:t>
      </w:r>
      <w:r>
        <w:rPr>
          <w:rStyle w:val="FootnoteAnchor"/>
          <w:rFonts w:cs="Arial" w:ascii="Arial" w:hAnsi="Arial"/>
          <w:sz w:val="26"/>
          <w:szCs w:val="26"/>
          <w:lang w:val="en-GB"/>
        </w:rPr>
        <w:footnoteReference w:id="3"/>
      </w:r>
      <w:r>
        <w:rPr>
          <w:rFonts w:cs="Arial" w:ascii="Arial" w:hAnsi="Arial"/>
          <w:sz w:val="26"/>
          <w:szCs w:val="26"/>
          <w:lang w:val="en-GB"/>
        </w:rPr>
        <w:t>.</w:t>
      </w:r>
    </w:p>
    <w:p>
      <w:pPr>
        <w:pStyle w:val="ListParagraph"/>
        <w:widowControl w:val="false"/>
        <w:numPr>
          <w:ilvl w:val="0"/>
          <w:numId w:val="1"/>
        </w:numPr>
        <w:spacing w:before="0" w:after="0"/>
        <w:jc w:val="both"/>
        <w:rPr>
          <w:rFonts w:ascii="Arial" w:hAnsi="Arial" w:cs="Arial"/>
          <w:sz w:val="26"/>
          <w:szCs w:val="26"/>
          <w:lang w:val="en-GB"/>
        </w:rPr>
      </w:pPr>
      <w:r>
        <w:rPr>
          <w:rFonts w:cs="Arial" w:ascii="Arial" w:hAnsi="Arial"/>
          <w:sz w:val="26"/>
          <w:szCs w:val="26"/>
          <w:lang w:val="en-GB"/>
        </w:rPr>
        <w:t>an invitation letter from the host institution for the period requested.</w:t>
      </w:r>
    </w:p>
    <w:p>
      <w:pPr>
        <w:pStyle w:val="ListParagraph"/>
        <w:widowControl w:val="false"/>
        <w:numPr>
          <w:ilvl w:val="0"/>
          <w:numId w:val="1"/>
        </w:numPr>
        <w:spacing w:before="0" w:after="0"/>
        <w:jc w:val="both"/>
        <w:rPr/>
      </w:pPr>
      <w:r>
        <w:rPr>
          <w:rFonts w:cs="Arial" w:ascii="Arial" w:hAnsi="Arial"/>
          <w:sz w:val="26"/>
          <w:szCs w:val="26"/>
          <w:lang w:val="en-GB"/>
        </w:rPr>
        <w:t xml:space="preserve">an estimation of the costs for the travel expenses and hosting. This can be done using telematic tools (Booking, Expedia, etc.) or, for instance, a budget provided by a university residence. These costs must be realistic, </w:t>
      </w:r>
      <w:r>
        <w:rPr>
          <w:rFonts w:cs="Arial" w:ascii="Arial" w:hAnsi="Arial"/>
          <w:sz w:val="26"/>
          <w:szCs w:val="26"/>
          <w:lang w:val="en-GB"/>
        </w:rPr>
        <w:t>will</w:t>
      </w:r>
      <w:r>
        <w:rPr>
          <w:rFonts w:cs="Arial" w:ascii="Arial" w:hAnsi="Arial"/>
          <w:sz w:val="26"/>
          <w:szCs w:val="26"/>
          <w:lang w:val="en-GB"/>
        </w:rPr>
        <w:t xml:space="preserve"> be checked out, and can be used to define the final amount of the grant to be provided.</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b/>
          <w:b/>
          <w:sz w:val="26"/>
          <w:szCs w:val="26"/>
          <w:lang w:val="en-GB"/>
        </w:rPr>
      </w:pPr>
      <w:r>
        <w:rPr>
          <w:rFonts w:cs="Arial" w:ascii="Arial" w:hAnsi="Arial"/>
          <w:b/>
          <w:sz w:val="26"/>
          <w:szCs w:val="26"/>
          <w:lang w:val="en-GB"/>
        </w:rPr>
        <w:t>4. Deadline and grant period</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 xml:space="preserve">The deadline for submitting the form to this call will be the </w:t>
      </w:r>
      <w:r>
        <w:rPr>
          <w:rFonts w:cs="Arial" w:ascii="Arial" w:hAnsi="Arial"/>
          <w:sz w:val="26"/>
          <w:szCs w:val="26"/>
          <w:lang w:val="en-GB"/>
        </w:rPr>
        <w:t>1</w:t>
      </w:r>
      <w:r>
        <w:rPr>
          <w:rFonts w:cs="Arial" w:ascii="Arial" w:hAnsi="Arial"/>
          <w:sz w:val="26"/>
          <w:szCs w:val="26"/>
          <w:lang w:val="en-GB"/>
        </w:rPr>
        <w:t>0</w:t>
      </w:r>
      <w:r>
        <w:rPr>
          <w:rFonts w:cs="Arial" w:ascii="Arial" w:hAnsi="Arial"/>
          <w:sz w:val="26"/>
          <w:szCs w:val="26"/>
          <w:vertAlign w:val="superscript"/>
          <w:lang w:val="en-GB"/>
        </w:rPr>
        <w:t>th</w:t>
      </w:r>
      <w:r>
        <w:rPr>
          <w:rFonts w:cs="Arial" w:ascii="Arial" w:hAnsi="Arial"/>
          <w:sz w:val="26"/>
          <w:szCs w:val="26"/>
          <w:lang w:val="en-GB"/>
        </w:rPr>
        <w:t xml:space="preserve"> of </w:t>
      </w:r>
      <w:r>
        <w:rPr>
          <w:rFonts w:cs="Arial" w:ascii="Arial" w:hAnsi="Arial"/>
          <w:sz w:val="26"/>
          <w:szCs w:val="26"/>
          <w:lang w:val="en-GB"/>
        </w:rPr>
        <w:t>Sept</w:t>
      </w:r>
      <w:r>
        <w:rPr>
          <w:rFonts w:cs="Arial" w:ascii="Arial" w:hAnsi="Arial"/>
          <w:sz w:val="26"/>
          <w:szCs w:val="26"/>
          <w:lang w:val="en-GB"/>
        </w:rPr>
        <w:t>ember. The period to perform the whole grant must fit within the interval starting the 1</w:t>
      </w:r>
      <w:r>
        <w:rPr>
          <w:rFonts w:cs="Arial" w:ascii="Arial" w:hAnsi="Arial"/>
          <w:sz w:val="26"/>
          <w:szCs w:val="26"/>
          <w:vertAlign w:val="superscript"/>
          <w:lang w:val="en-GB"/>
        </w:rPr>
        <w:t>st</w:t>
      </w:r>
      <w:r>
        <w:rPr>
          <w:rFonts w:cs="Arial" w:ascii="Arial" w:hAnsi="Arial"/>
          <w:sz w:val="26"/>
          <w:szCs w:val="26"/>
          <w:lang w:val="en-GB"/>
        </w:rPr>
        <w:t xml:space="preserve"> </w:t>
      </w:r>
      <w:r>
        <w:rPr>
          <w:rFonts w:cs="Arial" w:ascii="Arial" w:hAnsi="Arial"/>
          <w:sz w:val="26"/>
          <w:szCs w:val="26"/>
          <w:lang w:val="en-GB"/>
        </w:rPr>
        <w:t xml:space="preserve">of </w:t>
      </w:r>
      <w:r>
        <w:rPr>
          <w:rFonts w:cs="Arial" w:ascii="Arial" w:hAnsi="Arial"/>
          <w:sz w:val="26"/>
          <w:szCs w:val="26"/>
          <w:lang w:val="en-GB"/>
        </w:rPr>
        <w:t>October</w:t>
      </w:r>
      <w:r>
        <w:rPr>
          <w:rFonts w:cs="Arial" w:ascii="Arial" w:hAnsi="Arial"/>
          <w:sz w:val="26"/>
          <w:szCs w:val="26"/>
          <w:lang w:val="en-GB"/>
        </w:rPr>
        <w:t xml:space="preserve"> </w:t>
      </w:r>
      <w:r>
        <w:rPr>
          <w:rFonts w:cs="Arial" w:ascii="Arial" w:hAnsi="Arial"/>
          <w:sz w:val="26"/>
          <w:szCs w:val="26"/>
          <w:lang w:val="en-GB"/>
        </w:rPr>
        <w:t xml:space="preserve">2016, </w:t>
      </w:r>
      <w:r>
        <w:rPr>
          <w:rFonts w:cs="Arial" w:ascii="Arial" w:hAnsi="Arial"/>
          <w:sz w:val="26"/>
          <w:szCs w:val="26"/>
          <w:lang w:val="en-GB"/>
        </w:rPr>
        <w:t>and ending before the 1</w:t>
      </w:r>
      <w:r>
        <w:rPr>
          <w:rFonts w:cs="Arial" w:ascii="Arial" w:hAnsi="Arial"/>
          <w:sz w:val="26"/>
          <w:szCs w:val="26"/>
          <w:lang w:val="en-GB"/>
        </w:rPr>
        <w:t>5</w:t>
      </w:r>
      <w:r>
        <w:rPr>
          <w:rFonts w:cs="Arial" w:ascii="Arial" w:hAnsi="Arial"/>
          <w:sz w:val="26"/>
          <w:szCs w:val="26"/>
          <w:vertAlign w:val="superscript"/>
          <w:lang w:val="en-GB"/>
        </w:rPr>
        <w:t>th</w:t>
      </w:r>
      <w:r>
        <w:rPr>
          <w:rFonts w:cs="Arial" w:ascii="Arial" w:hAnsi="Arial"/>
          <w:sz w:val="26"/>
          <w:szCs w:val="26"/>
          <w:lang w:val="en-GB"/>
        </w:rPr>
        <w:t xml:space="preserve"> of </w:t>
      </w:r>
      <w:r>
        <w:rPr>
          <w:rFonts w:cs="Arial" w:ascii="Arial" w:hAnsi="Arial"/>
          <w:sz w:val="26"/>
          <w:szCs w:val="26"/>
          <w:lang w:val="en-GB"/>
        </w:rPr>
        <w:t>March 2017</w:t>
      </w:r>
      <w:r>
        <w:rPr>
          <w:rFonts w:cs="Arial" w:ascii="Arial" w:hAnsi="Arial"/>
          <w:sz w:val="26"/>
          <w:szCs w:val="26"/>
          <w:lang w:val="en-GB"/>
        </w:rPr>
        <w:t>.</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b/>
          <w:b/>
          <w:sz w:val="26"/>
          <w:szCs w:val="26"/>
          <w:lang w:val="en-GB"/>
        </w:rPr>
      </w:pPr>
      <w:r>
        <w:rPr>
          <w:rFonts w:cs="Arial" w:ascii="Arial" w:hAnsi="Arial"/>
          <w:b/>
          <w:sz w:val="26"/>
          <w:szCs w:val="26"/>
          <w:lang w:val="en-GB"/>
        </w:rPr>
        <w:t>5. Evaluation</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The STSM coordinator will perform a priori evaluation for each grant, and check out if there are some missing documents. Then he will issue a grant assignment proposal to be discussed by the evaluation committee composed by: the STMS coordinator, the working group leaders and the scientific coordinator of the COST Action. The evaluation committee will reach a common agreement avoiding conflicts of interest.</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rFonts w:ascii="Arial" w:hAnsi="Arial" w:cs="Arial"/>
          <w:sz w:val="26"/>
          <w:szCs w:val="26"/>
          <w:lang w:val="en-GB"/>
        </w:rPr>
      </w:pPr>
      <w:r>
        <w:rPr>
          <w:rFonts w:cs="Arial" w:ascii="Arial" w:hAnsi="Arial"/>
          <w:bCs/>
          <w:sz w:val="26"/>
          <w:szCs w:val="26"/>
          <w:lang w:val="en-GB"/>
        </w:rPr>
        <w:t xml:space="preserve">The rules for ranking the applicants will be decided according with the priorities stated by the Vademecum, i.e., considering: </w:t>
      </w:r>
      <w:r>
        <w:rPr>
          <w:rFonts w:cs="Arial" w:ascii="Arial" w:hAnsi="Arial"/>
          <w:sz w:val="26"/>
          <w:szCs w:val="26"/>
          <w:lang w:val="en-GB"/>
        </w:rPr>
        <w:t>the number of candidates, number of ECI applicants, the PhD students, gender balance, working group balance, work aligned with the interests of the COST Action working groups, etc.</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sz w:val="26"/>
          <w:szCs w:val="26"/>
          <w:lang w:val="en-GB"/>
        </w:rPr>
        <w:t xml:space="preserve">After evaluation, there will be a list of approved grants, and eventually another one with substitutes, in case of any applicant from the first list does not finally use the grant and resigns on time. Special measures can be taken with candidates resigning out of time, or using </w:t>
      </w:r>
      <w:r>
        <w:rPr>
          <w:rFonts w:cs="Arial" w:ascii="Arial" w:hAnsi="Arial"/>
          <w:sz w:val="26"/>
          <w:szCs w:val="26"/>
          <w:lang w:val="en-GB"/>
        </w:rPr>
        <w:t>inappropriately</w:t>
      </w:r>
      <w:r>
        <w:rPr>
          <w:rFonts w:cs="Arial" w:ascii="Arial" w:hAnsi="Arial"/>
          <w:sz w:val="26"/>
          <w:szCs w:val="26"/>
          <w:lang w:val="en-GB"/>
        </w:rPr>
        <w:t xml:space="preserve"> the grant.</w:t>
      </w:r>
    </w:p>
    <w:p>
      <w:pPr>
        <w:pStyle w:val="Normal"/>
        <w:widowControl w:val="false"/>
        <w:spacing w:before="0" w:after="0"/>
        <w:jc w:val="both"/>
        <w:rPr>
          <w:rFonts w:ascii="Arial" w:hAnsi="Arial" w:cs="Arial"/>
          <w:sz w:val="26"/>
          <w:szCs w:val="26"/>
          <w:lang w:val="en-GB"/>
        </w:rPr>
      </w:pPr>
      <w:r>
        <w:rPr>
          <w:rFonts w:cs="Arial" w:ascii="Arial" w:hAnsi="Arial"/>
          <w:sz w:val="26"/>
          <w:szCs w:val="26"/>
          <w:lang w:val="en-GB"/>
        </w:rPr>
      </w:r>
    </w:p>
    <w:p>
      <w:pPr>
        <w:pStyle w:val="Normal"/>
        <w:widowControl w:val="false"/>
        <w:spacing w:before="0" w:after="0"/>
        <w:jc w:val="both"/>
        <w:rPr/>
      </w:pPr>
      <w:r>
        <w:rPr>
          <w:rFonts w:cs="Arial" w:ascii="Arial" w:hAnsi="Arial"/>
          <w:b/>
          <w:sz w:val="26"/>
          <w:szCs w:val="26"/>
          <w:lang w:val="en-GB"/>
        </w:rPr>
        <w:t>After performing the grant, the candidates have to provide their travelling tickets or boarding passes, together with a report</w:t>
      </w:r>
      <w:r>
        <w:rPr>
          <w:rStyle w:val="FootnoteAnchor"/>
          <w:rFonts w:cs="Arial" w:ascii="Arial" w:hAnsi="Arial"/>
          <w:b/>
          <w:sz w:val="26"/>
          <w:szCs w:val="26"/>
          <w:lang w:val="en-GB"/>
        </w:rPr>
        <w:footnoteReference w:id="4"/>
      </w:r>
      <w:r>
        <w:rPr>
          <w:rFonts w:cs="Arial" w:ascii="Arial" w:hAnsi="Arial"/>
          <w:b/>
          <w:sz w:val="26"/>
          <w:szCs w:val="26"/>
          <w:lang w:val="en-GB"/>
        </w:rPr>
        <w:t xml:space="preserve"> describing the activities performed at the hosting institution. Then, the COST association will pay the agreed grant amount.</w:t>
      </w:r>
    </w:p>
    <w:sectPr>
      <w:footnotePr>
        <w:numFmt w:val="decimal"/>
      </w:footnotePr>
      <w:type w:val="nextPage"/>
      <w:pgSz w:w="12240" w:h="15840"/>
      <w:pgMar w:left="1701" w:right="1701" w:header="0" w:top="1417" w:footer="0"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Symbol">
    <w:charset w:val="02"/>
    <w:family w:val="auto"/>
    <w:pitch w:val="variable"/>
  </w:font>
  <w:font w:name="Arial">
    <w:charset w:val="01"/>
    <w:family w:val="swiss"/>
    <w:pitch w:val="variable"/>
  </w:font>
  <w:font w:name="Wingdings">
    <w:charset w:val="02"/>
    <w:family w:val="auto"/>
    <w:pitch w:val="variable"/>
  </w:font>
  <w:font w:name="Courier New">
    <w:charset w:val="01"/>
    <w:family w:val="moder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rPr/>
      </w:pPr>
      <w:r>
        <w:rPr>
          <w:rStyle w:val="Footnotereference"/>
        </w:rPr>
        <w:footnoteRef/>
        <w:tab/>
      </w:r>
      <w:r>
        <w:rPr/>
        <w:t xml:space="preserve"> </w:t>
      </w:r>
      <w:hyperlink r:id="rId1">
        <w:r>
          <w:rPr>
            <w:rStyle w:val="InternetLink"/>
          </w:rPr>
          <w:t>https://e-services.cost.eu/w3/index.php?id=91</w:t>
        </w:r>
      </w:hyperlink>
      <w:r>
        <w:rPr/>
        <w:t xml:space="preserve"> with Action reference “IC 1406”</w:t>
      </w:r>
    </w:p>
  </w:footnote>
  <w:footnote w:id="3">
    <w:p>
      <w:pPr>
        <w:pStyle w:val="Footnotetext"/>
        <w:rPr/>
      </w:pPr>
      <w:r>
        <w:rPr>
          <w:rStyle w:val="Footnotereference"/>
        </w:rPr>
        <w:footnoteRef/>
        <w:tab/>
      </w:r>
      <w:r>
        <w:rPr/>
        <w:t xml:space="preserve"> </w:t>
      </w:r>
      <w:hyperlink r:id="rId2">
        <w:r>
          <w:rPr>
            <w:rStyle w:val="InternetLink"/>
          </w:rPr>
          <w:t>https://europass.cedefop.europa.eu/en/documents/curriculum-vitae</w:t>
        </w:r>
      </w:hyperlink>
    </w:p>
  </w:footnote>
  <w:footnote w:id="4">
    <w:p>
      <w:pPr>
        <w:pStyle w:val="Footnotetext"/>
        <w:rPr/>
      </w:pPr>
      <w:r>
        <w:rPr>
          <w:rStyle w:val="Footnotereference"/>
        </w:rPr>
        <w:footnoteRef/>
        <w:tab/>
      </w:r>
      <w:r>
        <w:rPr/>
        <w:t xml:space="preserve"> </w:t>
      </w:r>
      <w:r>
        <w:rPr/>
        <w:t xml:space="preserve">The template needed to produce the final report is available at the chipset website: </w:t>
      </w:r>
      <w:hyperlink r:id="rId3">
        <w:r>
          <w:rPr>
            <w:rStyle w:val="InternetLink"/>
          </w:rPr>
          <w:t>http://chipset-cost.eu</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6"/>
        <w:rFonts w:cs="Symbol"/>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6"/>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6"/>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6"/>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6"/>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6"/>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embedSystemFonts/>
  <w:defaultTabStop w:val="708"/>
  <w:footnotePr>
    <w:numFmt w:val="decimal"/>
    <w:footnote w:id="0"/>
    <w:footnote w:id="1"/>
  </w:footnotePr>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c23"/>
    <w:pPr>
      <w:widowControl/>
      <w:bidi w:val="0"/>
      <w:spacing w:before="0" w:after="200"/>
      <w:jc w:val="left"/>
    </w:pPr>
    <w:rPr>
      <w:rFonts w:ascii="Cambria" w:hAnsi="Cambria" w:eastAsia="Cambria" w:cs=""/>
      <w:color w:val="00000A"/>
      <w:sz w:val="24"/>
      <w:szCs w:val="24"/>
      <w:lang w:val="en-US" w:eastAsia="en-US" w:bidi="ar-SA"/>
    </w:rPr>
  </w:style>
  <w:style w:type="paragraph" w:styleId="Heading1" w:customStyle="1">
    <w:name w:val="Heading 1"/>
    <w:basedOn w:val="Heading"/>
    <w:qFormat/>
    <w:rsid w:val="00ab4665"/>
    <w:pPr/>
    <w:rPr/>
  </w:style>
  <w:style w:type="paragraph" w:styleId="Heading2" w:customStyle="1">
    <w:name w:val="Heading 2"/>
    <w:basedOn w:val="Heading"/>
    <w:qFormat/>
    <w:rsid w:val="00ab4665"/>
    <w:pPr/>
    <w:rPr/>
  </w:style>
  <w:style w:type="paragraph" w:styleId="Heading3" w:customStyle="1">
    <w:name w:val="Heading 3"/>
    <w:basedOn w:val="Heading"/>
    <w:qFormat/>
    <w:rsid w:val="00ab4665"/>
    <w:pPr/>
    <w:rPr/>
  </w:style>
  <w:style w:type="character" w:styleId="DefaultParagraphFont" w:default="1">
    <w:name w:val="Default Paragraph Font"/>
    <w:semiHidden/>
    <w:unhideWhenUsed/>
    <w:qFormat/>
    <w:rPr/>
  </w:style>
  <w:style w:type="character" w:styleId="InternetLink">
    <w:name w:val="Internet Link"/>
    <w:basedOn w:val="DefaultParagraphFont"/>
    <w:uiPriority w:val="99"/>
    <w:semiHidden/>
    <w:unhideWhenUsed/>
    <w:rsid w:val="00151e2e"/>
    <w:rPr>
      <w:color w:val="0000FF" w:themeColor="hyperlink"/>
      <w:u w:val="single"/>
    </w:rPr>
  </w:style>
  <w:style w:type="character" w:styleId="ListLabel1" w:customStyle="1">
    <w:name w:val="ListLabel 1"/>
    <w:qFormat/>
    <w:rsid w:val="00ab4665"/>
    <w:rPr>
      <w:rFonts w:eastAsia="Cambria" w:cs="Arial"/>
    </w:rPr>
  </w:style>
  <w:style w:type="character" w:styleId="ListLabel2" w:customStyle="1">
    <w:name w:val="ListLabel 2"/>
    <w:qFormat/>
    <w:rsid w:val="00ab4665"/>
    <w:rPr>
      <w:rFonts w:ascii="Arial" w:hAnsi="Arial" w:cs="Symbol"/>
      <w:sz w:val="26"/>
    </w:rPr>
  </w:style>
  <w:style w:type="character" w:styleId="ListLabel3" w:customStyle="1">
    <w:name w:val="ListLabel 3"/>
    <w:qFormat/>
    <w:rsid w:val="00ab4665"/>
    <w:rPr>
      <w:rFonts w:cs="Arial"/>
    </w:rPr>
  </w:style>
  <w:style w:type="character" w:styleId="ListLabel4" w:customStyle="1">
    <w:name w:val="ListLabel 4"/>
    <w:qFormat/>
    <w:rsid w:val="00ab4665"/>
    <w:rPr>
      <w:rFonts w:cs="Wingdings"/>
    </w:rPr>
  </w:style>
  <w:style w:type="character" w:styleId="ListLabel5" w:customStyle="1">
    <w:name w:val="ListLabel 5"/>
    <w:qFormat/>
    <w:rsid w:val="00ab4665"/>
    <w:rPr>
      <w:rFonts w:cs="Courier New"/>
    </w:rPr>
  </w:style>
  <w:style w:type="character" w:styleId="Annotationreference">
    <w:name w:val="annotation reference"/>
    <w:basedOn w:val="DefaultParagraphFont"/>
    <w:uiPriority w:val="99"/>
    <w:semiHidden/>
    <w:unhideWhenUsed/>
    <w:qFormat/>
    <w:rsid w:val="00d86d5a"/>
    <w:rPr>
      <w:sz w:val="18"/>
      <w:szCs w:val="18"/>
    </w:rPr>
  </w:style>
  <w:style w:type="character" w:styleId="TextocomentarioCar" w:customStyle="1">
    <w:name w:val="Texto comentario Car"/>
    <w:basedOn w:val="DefaultParagraphFont"/>
    <w:link w:val="Textocomentario"/>
    <w:uiPriority w:val="99"/>
    <w:semiHidden/>
    <w:qFormat/>
    <w:rsid w:val="00d86d5a"/>
    <w:rPr>
      <w:color w:val="00000A"/>
      <w:sz w:val="24"/>
    </w:rPr>
  </w:style>
  <w:style w:type="character" w:styleId="AsuntodelcomentarioCar" w:customStyle="1">
    <w:name w:val="Asunto del comentario Car"/>
    <w:basedOn w:val="TextocomentarioCar"/>
    <w:link w:val="Asuntodelcomentario"/>
    <w:uiPriority w:val="99"/>
    <w:semiHidden/>
    <w:qFormat/>
    <w:rsid w:val="00d86d5a"/>
    <w:rPr>
      <w:b/>
      <w:bCs/>
      <w:color w:val="00000A"/>
      <w:sz w:val="24"/>
      <w:szCs w:val="20"/>
    </w:rPr>
  </w:style>
  <w:style w:type="character" w:styleId="TextodegloboCar" w:customStyle="1">
    <w:name w:val="Texto de globo Car"/>
    <w:basedOn w:val="DefaultParagraphFont"/>
    <w:link w:val="Textodeglobo"/>
    <w:uiPriority w:val="99"/>
    <w:semiHidden/>
    <w:qFormat/>
    <w:rsid w:val="00d86d5a"/>
    <w:rPr>
      <w:rFonts w:ascii="Lucida Grande" w:hAnsi="Lucida Grande"/>
      <w:color w:val="00000A"/>
      <w:sz w:val="18"/>
      <w:szCs w:val="18"/>
    </w:rPr>
  </w:style>
  <w:style w:type="character" w:styleId="TextonotapieCar" w:customStyle="1">
    <w:name w:val="Texto nota pie Car"/>
    <w:basedOn w:val="DefaultParagraphFont"/>
    <w:link w:val="Textonotapie"/>
    <w:uiPriority w:val="99"/>
    <w:semiHidden/>
    <w:qFormat/>
    <w:rsid w:val="00787fac"/>
    <w:rPr>
      <w:color w:val="00000A"/>
      <w:sz w:val="24"/>
    </w:rPr>
  </w:style>
  <w:style w:type="character" w:styleId="Footnotereference">
    <w:name w:val="footnote reference"/>
    <w:basedOn w:val="DefaultParagraphFont"/>
    <w:uiPriority w:val="99"/>
    <w:semiHidden/>
    <w:unhideWhenUsed/>
    <w:qFormat/>
    <w:rsid w:val="00787fac"/>
    <w:rPr>
      <w:vertAlign w:val="superscript"/>
    </w:rPr>
  </w:style>
  <w:style w:type="character" w:styleId="ListLabel6">
    <w:name w:val="ListLabel 6"/>
    <w:qFormat/>
    <w:rPr>
      <w:rFonts w:ascii="Arial" w:hAnsi="Arial" w:cs="Symbol"/>
      <w:sz w:val="26"/>
    </w:rPr>
  </w:style>
  <w:style w:type="character" w:styleId="ListLabel7">
    <w:name w:val="ListLabel 7"/>
    <w:qFormat/>
    <w:rPr>
      <w:rFonts w:cs="Arial"/>
    </w:rPr>
  </w:style>
  <w:style w:type="character" w:styleId="ListLabel8">
    <w:name w:val="ListLabel 8"/>
    <w:qFormat/>
    <w:rPr>
      <w:rFonts w:cs="Wingdings"/>
    </w:rPr>
  </w:style>
  <w:style w:type="character" w:styleId="ListLabel9">
    <w:name w:val="ListLabel 9"/>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rsid w:val="00ab4665"/>
    <w:pPr>
      <w:keepNext/>
      <w:spacing w:before="240" w:after="120"/>
    </w:pPr>
    <w:rPr>
      <w:rFonts w:ascii="Liberation Sans" w:hAnsi="Liberation Sans" w:eastAsia="Arial Unicode MS" w:cs="Arial Unicode MS"/>
      <w:sz w:val="28"/>
      <w:szCs w:val="28"/>
    </w:rPr>
  </w:style>
  <w:style w:type="paragraph" w:styleId="TextBody" w:customStyle="1">
    <w:name w:val="Text Body"/>
    <w:basedOn w:val="Normal"/>
    <w:rsid w:val="00ab4665"/>
    <w:pPr>
      <w:spacing w:lineRule="auto" w:line="288" w:before="0" w:after="140"/>
    </w:pPr>
    <w:rPr/>
  </w:style>
  <w:style w:type="paragraph" w:styleId="List">
    <w:name w:val="List"/>
    <w:basedOn w:val="TextBody"/>
    <w:rsid w:val="00ab4665"/>
    <w:pPr/>
    <w:rPr/>
  </w:style>
  <w:style w:type="paragraph" w:styleId="Caption" w:customStyle="1">
    <w:name w:val="Caption"/>
    <w:basedOn w:val="Normal"/>
    <w:qFormat/>
    <w:rsid w:val="00ab4665"/>
    <w:pPr>
      <w:suppressLineNumbers/>
      <w:spacing w:before="120" w:after="120"/>
    </w:pPr>
    <w:rPr>
      <w:i/>
      <w:iCs/>
    </w:rPr>
  </w:style>
  <w:style w:type="paragraph" w:styleId="Index" w:customStyle="1">
    <w:name w:val="Index"/>
    <w:basedOn w:val="Normal"/>
    <w:qFormat/>
    <w:rsid w:val="00ab4665"/>
    <w:pPr>
      <w:suppressLineNumbers/>
    </w:pPr>
    <w:rPr/>
  </w:style>
  <w:style w:type="paragraph" w:styleId="ListParagraph">
    <w:name w:val="List Paragraph"/>
    <w:basedOn w:val="Normal"/>
    <w:uiPriority w:val="34"/>
    <w:qFormat/>
    <w:rsid w:val="002456ec"/>
    <w:pPr>
      <w:spacing w:before="0" w:after="200"/>
      <w:ind w:left="720" w:hanging="0"/>
      <w:contextualSpacing/>
    </w:pPr>
    <w:rPr/>
  </w:style>
  <w:style w:type="paragraph" w:styleId="Quotations" w:customStyle="1">
    <w:name w:val="Quotations"/>
    <w:basedOn w:val="Normal"/>
    <w:qFormat/>
    <w:rsid w:val="00ab4665"/>
    <w:pPr/>
    <w:rPr/>
  </w:style>
  <w:style w:type="paragraph" w:styleId="Title">
    <w:name w:val="Title"/>
    <w:basedOn w:val="Heading"/>
    <w:qFormat/>
    <w:rsid w:val="00ab4665"/>
    <w:pPr/>
    <w:rPr/>
  </w:style>
  <w:style w:type="paragraph" w:styleId="Subtitle">
    <w:name w:val="Subtitle"/>
    <w:basedOn w:val="Heading"/>
    <w:qFormat/>
    <w:rsid w:val="00ab4665"/>
    <w:pPr/>
    <w:rPr/>
  </w:style>
  <w:style w:type="paragraph" w:styleId="Annotationtext">
    <w:name w:val="annotation text"/>
    <w:basedOn w:val="Normal"/>
    <w:link w:val="TextocomentarioCar"/>
    <w:uiPriority w:val="99"/>
    <w:semiHidden/>
    <w:unhideWhenUsed/>
    <w:qFormat/>
    <w:rsid w:val="00d86d5a"/>
    <w:pPr/>
    <w:rPr/>
  </w:style>
  <w:style w:type="paragraph" w:styleId="Annotationsubject">
    <w:name w:val="annotation subject"/>
    <w:basedOn w:val="Annotationtext"/>
    <w:link w:val="AsuntodelcomentarioCar"/>
    <w:uiPriority w:val="99"/>
    <w:semiHidden/>
    <w:unhideWhenUsed/>
    <w:qFormat/>
    <w:rsid w:val="00d86d5a"/>
    <w:pPr/>
    <w:rPr>
      <w:b/>
      <w:bCs/>
      <w:sz w:val="20"/>
      <w:szCs w:val="20"/>
    </w:rPr>
  </w:style>
  <w:style w:type="paragraph" w:styleId="BalloonText">
    <w:name w:val="Balloon Text"/>
    <w:basedOn w:val="Normal"/>
    <w:link w:val="TextodegloboCar"/>
    <w:uiPriority w:val="99"/>
    <w:semiHidden/>
    <w:unhideWhenUsed/>
    <w:qFormat/>
    <w:rsid w:val="00d86d5a"/>
    <w:pPr>
      <w:spacing w:before="0" w:after="0"/>
    </w:pPr>
    <w:rPr>
      <w:rFonts w:ascii="Lucida Grande" w:hAnsi="Lucida Grande"/>
      <w:sz w:val="18"/>
      <w:szCs w:val="18"/>
    </w:rPr>
  </w:style>
  <w:style w:type="paragraph" w:styleId="Footnotetext">
    <w:name w:val="footnote text"/>
    <w:basedOn w:val="Normal"/>
    <w:link w:val="TextonotapieCar"/>
    <w:uiPriority w:val="99"/>
    <w:semiHidden/>
    <w:unhideWhenUsed/>
    <w:qFormat/>
    <w:rsid w:val="00787fac"/>
    <w:pPr>
      <w:spacing w:before="0" w:after="0"/>
    </w:pPr>
    <w:rPr/>
  </w:style>
  <w:style w:type="paragraph" w:styleId="Footnote">
    <w:name w:val="Footnote"/>
    <w:basedOn w:val="Normal"/>
    <w:pPr/>
    <w:rPr/>
  </w:style>
  <w:style w:type="numbering" w:styleId="NoList" w:default="1">
    <w:name w:val="No Lis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table" w:styleId="Tablaconcuadrcula">
    <w:name w:val="Table Grid"/>
    <w:basedOn w:val="Tablanormal"/>
    <w:uiPriority w:val="59"/>
    <w:rsid w:val="002456ec"/>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C.Burguillo@uvigo.es"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e-services.cost.eu/w3/index.php?id=91" TargetMode="External"/><Relationship Id="rId2" Type="http://schemas.openxmlformats.org/officeDocument/2006/relationships/hyperlink" Target="https://europass.cedefop.europa.eu/en/documents/curriculum-vitae" TargetMode="External"/><Relationship Id="rId3" Type="http://schemas.openxmlformats.org/officeDocument/2006/relationships/hyperlink" Target="http://chipset-cost.eu/"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LibreOffice/5.0.2.2$MacOSX_X86_64 LibreOffice_project/37b43f919e4de5eeaca9b9755ed688758a8251fe</Application>
  <Paragraphs>53</Paragraphs>
  <Company>Universidad de Vigo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2015-11-27T07:20:00Z</dcterms:created>
  <dc:language>es-ES</dc:language>
  <dcterms:modified xsi:type="dcterms:W3CDTF">2016-05-07T11:08:43Z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Universidad de Vigo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